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03F" w:rsidRDefault="0030303F" w:rsidP="0030303F">
      <w:pPr>
        <w:pStyle w:val="Heading1"/>
        <w:spacing w:after="0"/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Toc461855920"/>
      <w:r>
        <w:rPr>
          <w:rFonts w:asciiTheme="majorBidi" w:hAnsiTheme="majorBidi" w:cstheme="majorBidi"/>
          <w:sz w:val="24"/>
          <w:szCs w:val="24"/>
          <w:lang w:eastAsia="fr-FR"/>
        </w:rPr>
        <w:t>FONDEMENTS ECONOMIQUES</w:t>
      </w:r>
      <w:bookmarkEnd w:id="0"/>
      <w:r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eastAsia="fr-FR"/>
        </w:rPr>
        <w:br/>
        <w:t>(60 periodes)</w:t>
      </w:r>
    </w:p>
    <w:p w:rsidR="0030303F" w:rsidRDefault="0030303F" w:rsidP="0030303F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Objectifs</w:t>
      </w:r>
    </w:p>
    <w:p w:rsidR="0030303F" w:rsidRDefault="0030303F" w:rsidP="0030303F">
      <w:pPr>
        <w:ind w:firstLine="72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Au terme de cette matière, l’élève sera capable de :</w:t>
      </w:r>
    </w:p>
    <w:p w:rsidR="0030303F" w:rsidRDefault="0030303F" w:rsidP="0030303F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–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Comprendre les politiques fiscales et monétaires aussi bien dans une économie fermée qu’ouverte. Les questions d’actualité sont de rigueur.</w:t>
      </w:r>
    </w:p>
    <w:p w:rsidR="0030303F" w:rsidRDefault="0030303F" w:rsidP="0030303F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–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Acquérir les notions de base de l’analyse macro-économique.</w:t>
      </w:r>
    </w:p>
    <w:p w:rsidR="0030303F" w:rsidRDefault="0030303F" w:rsidP="0030303F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1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 Introduction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1.1 Définitions, champs de portée et méthodologie.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1.2 Le capitalisme et le système des prix relatifs. Le coût d’opportunité. Les rendements à l’échelle. Le principe de l’avantage relatif. Le court et le long terme. L’analyse marginale.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2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Exposition des principes fondamentaux de l’offre et de la demande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2.1 Analyse de la demande et de l’offre : facteurs déterminants. L’équilibre entre l’offre et la demande. Mouvements et déplacements. Le concept de l’élasticité. Introduction à l’offre et la demande agrégée. Théorie de l’offre.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3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Exposition et évaluation du revenu, des dépenses et de l’épargne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3.1 Les comptes nationaux des revenus et de dépenses. Les méthodes d’évaluation. Les conditions d’équilibre. Le financement des investissements. Les fluctuations économiques.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3.2 Les coûts du chômage, les types de chômage. Le plein-emploi. Les coûts de l’inflation. Les mesures de l’inflation. La productivité: principales sources.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4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Evaluation du revenu d’équilibre et des conditions d’équilibre à deux secteurs</w:t>
      </w:r>
    </w:p>
    <w:p w:rsidR="0030303F" w:rsidRDefault="0030303F" w:rsidP="0030303F">
      <w:pPr>
        <w:ind w:left="426" w:firstLine="29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Le rôle de l’épargne et de l’investissement.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4.1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L’équilibre par la demande. Le plein emploi. Le principe multiplicateur. Le principe de l’accélérateur. L’instabilité des investissements et du revenu. Les chocs internes et externes.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5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Evaluation des politiques fiscales. Structures des recettes et des dépenses 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</w:r>
    </w:p>
    <w:p w:rsidR="0030303F" w:rsidRDefault="0030303F" w:rsidP="0030303F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Evaluation de la théorie de l’offre.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5.1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 xml:space="preserve">Les politiques fiscales expansionnistes et </w:t>
      </w:r>
      <w:proofErr w:type="spellStart"/>
      <w:r>
        <w:rPr>
          <w:rFonts w:asciiTheme="majorBidi" w:hAnsiTheme="majorBidi" w:cstheme="majorBidi"/>
          <w:sz w:val="24"/>
          <w:szCs w:val="24"/>
          <w:lang w:eastAsia="fr-FR"/>
        </w:rPr>
        <w:t>contractionnaires</w:t>
      </w:r>
      <w:proofErr w:type="spellEnd"/>
      <w:r>
        <w:rPr>
          <w:rFonts w:asciiTheme="majorBidi" w:hAnsiTheme="majorBidi" w:cstheme="majorBidi"/>
          <w:sz w:val="24"/>
          <w:szCs w:val="24"/>
          <w:lang w:eastAsia="fr-FR"/>
        </w:rPr>
        <w:t xml:space="preserve"> et leurs implications économiques. Evaluation des multiplicateurs des dépenses, de l’impôt et d’un budget équilibré.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lastRenderedPageBreak/>
        <w:t>5.2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Les conditions d’équilibre à trois secteurs. La dette : problèmes et conséquences.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6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Evaluation du revenu d’équilibre sur le marché réel 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6.1 Détermination de la fonction IS. Les conditions d’équilibre à trois secteurs.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7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 Evaluation de la monnaie, du système bancaire et de la Banque du Liban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 xml:space="preserve">7.1 La monnaie : définitions. La création (destruction) de monnaie, le taux d’escompte. Les réserves légales. Les opérations open </w:t>
      </w:r>
      <w:proofErr w:type="spellStart"/>
      <w:r>
        <w:rPr>
          <w:rFonts w:asciiTheme="majorBidi" w:hAnsiTheme="majorBidi" w:cstheme="majorBidi"/>
          <w:sz w:val="24"/>
          <w:szCs w:val="24"/>
          <w:lang w:eastAsia="fr-FR"/>
        </w:rPr>
        <w:t>market</w:t>
      </w:r>
      <w:proofErr w:type="spellEnd"/>
      <w:r>
        <w:rPr>
          <w:rFonts w:asciiTheme="majorBidi" w:hAnsiTheme="majorBidi" w:cstheme="majorBidi"/>
          <w:sz w:val="24"/>
          <w:szCs w:val="24"/>
          <w:lang w:eastAsia="fr-FR"/>
        </w:rPr>
        <w:t xml:space="preserve">. “ </w:t>
      </w:r>
      <w:r>
        <w:rPr>
          <w:rFonts w:asciiTheme="majorBidi" w:hAnsiTheme="majorBidi" w:cstheme="majorBidi"/>
          <w:i/>
          <w:iCs/>
          <w:sz w:val="24"/>
          <w:szCs w:val="24"/>
          <w:lang w:eastAsia="fr-FR"/>
        </w:rPr>
        <w:t>Les objectifs</w:t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 “ de la Banque du Liban. La monnaie, les taux d’intérêt et le revenu.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8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Evaluation des principales théories de la demande de monnaie : version classique, néoclassique et version keynésienne.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8.1 La version de Cambridge. La version des monétaristes : la théorie quantitative des prix. La version keynésienne et la demande de monnaie spéculative. La structure du taux d’intérêt.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u w:val="single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9 </w:t>
      </w:r>
    </w:p>
    <w:p w:rsidR="0030303F" w:rsidRDefault="0030303F" w:rsidP="0030303F">
      <w:pPr>
        <w:pStyle w:val="Title"/>
        <w:spacing w:before="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Evaluation de l’équilibre néoclassique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9.1 L’équilibre sur le marché réel.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9.2 L’équilibre sur le marché monétaire.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9.3 L’équilibre sur le marché du travail.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9.4 L’équilibre simultané.</w:t>
      </w:r>
    </w:p>
    <w:p w:rsidR="0030303F" w:rsidRDefault="0030303F" w:rsidP="0030303F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30303F" w:rsidRDefault="0030303F" w:rsidP="0030303F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La demande agrégée, le taux d’intérêt et le revenu : la fonction IS. La monnaie, les taux d’intérêt et le revenu : la fonction LM. L’équilibre simultané : IS - LM. Les politiques de stabilisation et le revenu du plein emploi.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10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Evaluation de la balance de paiement et des taux de change </w:t>
      </w:r>
    </w:p>
    <w:p w:rsidR="0030303F" w:rsidRDefault="0030303F" w:rsidP="0030303F">
      <w:pPr>
        <w:pStyle w:val="BodyText2"/>
        <w:ind w:firstLine="567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Les politiques de stabilisation.</w:t>
      </w:r>
    </w:p>
    <w:p w:rsidR="0030303F" w:rsidRDefault="0030303F" w:rsidP="0030303F">
      <w:pPr>
        <w:ind w:left="567" w:hanging="567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10.1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La balance de paiements: principaux compte. Les taux de change fixes et flottants. Le système étalon-or. Le F.M.I. et l’étalon-or $. Le commerce international.</w:t>
      </w:r>
    </w:p>
    <w:p w:rsidR="00017169" w:rsidRPr="001B3076" w:rsidRDefault="00017169" w:rsidP="00307F61">
      <w:pPr>
        <w:rPr>
          <w:rFonts w:asciiTheme="majorBidi" w:hAnsiTheme="majorBidi" w:cstheme="majorBidi"/>
          <w:sz w:val="24"/>
          <w:szCs w:val="24"/>
          <w:lang w:eastAsia="fr-FR"/>
        </w:rPr>
      </w:pPr>
      <w:bookmarkStart w:id="1" w:name="_GoBack"/>
      <w:bookmarkEnd w:id="1"/>
    </w:p>
    <w:sectPr w:rsidR="00017169" w:rsidRPr="001B3076" w:rsidSect="00307F61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111" w:other="1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1265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639C"/>
    <w:rsid w:val="0030303F"/>
    <w:rsid w:val="003051BF"/>
    <w:rsid w:val="00307F61"/>
    <w:rsid w:val="00310FDA"/>
    <w:rsid w:val="003170D1"/>
    <w:rsid w:val="00341516"/>
    <w:rsid w:val="00362CA9"/>
    <w:rsid w:val="003776AD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C61E8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1733E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48BA42-34D0-4F5E-9D2D-91493AE4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17</cp:revision>
  <cp:lastPrinted>2014-02-14T09:41:00Z</cp:lastPrinted>
  <dcterms:created xsi:type="dcterms:W3CDTF">2014-02-14T09:50:00Z</dcterms:created>
  <dcterms:modified xsi:type="dcterms:W3CDTF">2019-07-24T05:59:00Z</dcterms:modified>
</cp:coreProperties>
</file>